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Financial Planning</w:t>
      </w:r>
    </w:p>
    <w:p>
      <w:pPr>
        <w:pStyle w:val="Heading1"/>
      </w:pPr>
      <w:r>
        <w:t>Savings</w:t>
      </w:r>
    </w:p>
    <w:p>
      <w:r>
        <w:t>Establishing a strong savings plan is key to achieving long-term financial goals. Employees are encouraged to set aside a portion of their income for emergency savings, retirement, and other future needs. Aim to save at least 20% of your income monthly.</w:t>
      </w:r>
    </w:p>
    <w:p>
      <w:pPr>
        <w:pStyle w:val="Heading1"/>
      </w:pPr>
      <w:r>
        <w:t>Investments</w:t>
      </w:r>
    </w:p>
    <w:p>
      <w:r>
        <w:t>Diversifying your investments is essential to growing your wealth. Consider a mix of stocks, bonds, and real estate to balance risk and returns. Our company offers resources to help employees make informed decisions about their investment portfolios.</w:t>
      </w:r>
    </w:p>
    <w:p>
      <w:pPr>
        <w:pStyle w:val="Heading1"/>
      </w:pPr>
      <w:r>
        <w:t>Budgeting Strategies</w:t>
      </w:r>
    </w:p>
    <w:p>
      <w:r>
        <w:t>A well-planned budget is crucial for managing day-to-day expenses and ensuring financial stability. We recommend using the 50/30/20 rule, where 50% of your income is allocated to needs, 30% to wants, and 20% to savings and debt repayment. Review your budget regularly to adjust for any changes in your financial situation.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